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2"/>
          <w:numId w:val="1"/>
        </w:numPr>
        <w:jc w:val="center"/>
      </w:pPr>
      <w:r>
        <w:rPr>
          <w:rFonts w:ascii="Sylfaen" w:cs="Sylfaen" w:hAnsi="Sylfaen"/>
          <w:b/>
          <w:sz w:val="36"/>
          <w:szCs w:val="36"/>
        </w:rPr>
        <w:t>Mgr. Lucie Sobotková</w:t>
        <w:pict/>
      </w:r>
    </w:p>
    <w:p>
      <w:pPr>
        <w:pStyle w:val="style4"/>
        <w:numPr>
          <w:ilvl w:val="3"/>
          <w:numId w:val="1"/>
        </w:numPr>
        <w:jc w:val="center"/>
      </w:pPr>
      <w:r>
        <w:rPr>
          <w:b/>
          <w:sz w:val="30"/>
          <w:szCs w:val="30"/>
        </w:rPr>
        <w:t>notářka v Jihlavě</w:t>
      </w:r>
    </w:p>
    <w:p>
      <w:pPr>
        <w:pStyle w:val="style4"/>
        <w:numPr>
          <w:ilvl w:val="3"/>
          <w:numId w:val="1"/>
        </w:numPr>
        <w:jc w:val="center"/>
      </w:pPr>
      <w:r>
        <w:rPr>
          <w:sz w:val="20"/>
        </w:rPr>
        <w:t>se sídlem Jihlava, Masarykovo náměstí 110/64, PSČ 586 01</w:t>
      </w:r>
    </w:p>
    <w:p>
      <w:pPr>
        <w:pStyle w:val="style4"/>
        <w:numPr>
          <w:ilvl w:val="3"/>
          <w:numId w:val="1"/>
        </w:numPr>
        <w:jc w:val="center"/>
      </w:pPr>
      <w:r>
        <w:rPr>
          <w:sz w:val="18"/>
          <w:szCs w:val="18"/>
        </w:rPr>
        <w:t xml:space="preserve">IČO: 144 25 114, DIČ: CZ9055124705, </w:t>
      </w:r>
    </w:p>
    <w:p>
      <w:pPr>
        <w:pStyle w:val="style4"/>
        <w:numPr>
          <w:ilvl w:val="3"/>
          <w:numId w:val="1"/>
        </w:numPr>
        <w:jc w:val="center"/>
      </w:pPr>
      <w:r>
        <w:rPr>
          <w:sz w:val="18"/>
          <w:szCs w:val="18"/>
        </w:rPr>
        <w:t xml:space="preserve">tel. +420 702 193 913, e-mail: </w:t>
      </w:r>
      <w:hyperlink r:id="rId2">
        <w:r>
          <w:rPr>
            <w:rStyle w:val="style16"/>
            <w:sz w:val="18"/>
            <w:szCs w:val="18"/>
          </w:rPr>
          <w:t>info@notarka-jihlava.cz</w:t>
        </w:r>
      </w:hyperlink>
      <w:r>
        <w:rPr>
          <w:sz w:val="18"/>
          <w:szCs w:val="18"/>
        </w:rPr>
        <w:t>, www.notarka-jihlava.cz</w:t>
      </w:r>
    </w:p>
    <w:p>
      <w:pPr>
        <w:pStyle w:val="style4"/>
        <w:numPr>
          <w:ilvl w:val="3"/>
          <w:numId w:val="1"/>
        </w:numPr>
        <w:jc w:val="center"/>
      </w:pPr>
      <w:r>
        <w:rPr>
          <w:b/>
          <w:lang w:eastAsia="cs-CZ" w:val="cs-CZ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b/>
          <w:sz w:val="24"/>
          <w:szCs w:val="24"/>
        </w:rPr>
        <w:t xml:space="preserve">Obcím v působnosti soudního komisaře </w:t>
      </w:r>
    </w:p>
    <w:p>
      <w:pPr>
        <w:pStyle w:val="style0"/>
      </w:pPr>
      <w:r>
        <w:rPr>
          <w:b/>
          <w:sz w:val="24"/>
          <w:szCs w:val="24"/>
        </w:rPr>
        <w:t>Okresního soudu v Jihlavě</w:t>
      </w:r>
    </w:p>
    <w:p>
      <w:pPr>
        <w:pStyle w:val="style0"/>
      </w:pPr>
      <w:r>
        <w:rPr>
          <w:b/>
          <w:sz w:val="24"/>
          <w:szCs w:val="24"/>
        </w:rPr>
        <w:t>Mgr. Lucie Sobotkové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ind w:firstLine="708" w:left="5664" w:right="0"/>
        <w:jc w:val="right"/>
      </w:pPr>
      <w:r>
        <w:rPr>
          <w:sz w:val="24"/>
          <w:szCs w:val="24"/>
        </w:rPr>
        <w:t>V Jihlavě dne 08. 06. 2022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ab/>
        <w:t xml:space="preserve">Vážená paní starostko, Vážený pane starosto, 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ab/>
        <w:t xml:space="preserve">dovoluji si Vás informovat, že k 06. 06. 2022 jsem převzala notářský úřad po JUDr. Ivance Parkanové, která ukončila činnost k 31. 12. 2021, a za kterou v období od 01. 01. 2022 do </w:t>
        <w:br/>
        <w:t>01. 06. 2022 vykonával činnost náhradník Mgr. Ludvík Vinopal, a stala jsem se soudním komisařem, do jehož obvodu je zařazena Vaše obec.</w:t>
      </w:r>
    </w:p>
    <w:p>
      <w:pPr>
        <w:pStyle w:val="style0"/>
        <w:jc w:val="both"/>
      </w:pPr>
      <w:r>
        <w:rPr>
          <w:sz w:val="24"/>
          <w:szCs w:val="24"/>
        </w:rPr>
        <w:tab/>
        <w:t>Vzhledem k této skutečnosti Vám sděluji základní informace o mé notářské kanceláři:</w:t>
      </w:r>
    </w:p>
    <w:p>
      <w:pPr>
        <w:pStyle w:val="style2"/>
        <w:numPr>
          <w:ilvl w:val="1"/>
          <w:numId w:val="1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color w:val="00000A"/>
          <w:sz w:val="28"/>
          <w:szCs w:val="24"/>
        </w:rPr>
      </w:r>
    </w:p>
    <w:p>
      <w:pPr>
        <w:pStyle w:val="style2"/>
        <w:numPr>
          <w:ilvl w:val="1"/>
          <w:numId w:val="1"/>
        </w:numPr>
        <w:spacing w:after="0" w:before="0"/>
        <w:jc w:val="center"/>
      </w:pPr>
      <w:r>
        <w:rPr>
          <w:rFonts w:ascii="Times New Roman" w:cs="Times New Roman" w:hAnsi="Times New Roman"/>
          <w:b/>
          <w:bCs/>
          <w:color w:val="00000A"/>
          <w:sz w:val="28"/>
          <w:szCs w:val="24"/>
        </w:rPr>
        <w:t>Mgr. Lucie Sobotková</w:t>
      </w:r>
    </w:p>
    <w:p>
      <w:pPr>
        <w:pStyle w:val="style0"/>
        <w:jc w:val="center"/>
      </w:pPr>
      <w:r>
        <w:rPr>
          <w:sz w:val="24"/>
          <w:szCs w:val="24"/>
        </w:rPr>
        <w:t>notářka v Jihlavě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soudní komisař pro obce: Arnolec, Bítovčice, Brzkov, Dobronín, Dobroutov, Jamné (Lipina), Jersín, Kamenice (Kamenička, Řehořov a Vržanov), Kamenná, Kozlov, Luka nad Jihlavou (Otín, Předboř a Svatoslav), Měšín, Meziříčko, Nadějov, Polná (Hrbov, Janovice, Nové Dvory a Skrýšov), Rybné, Stáj, Střítež, Velký Beranov (Bradlo a Jeclov), Věžnice, Věžnička, Vysoké Studnice, Záborná, Zhoř a Ždírec</w:t>
      </w:r>
    </w:p>
    <w:p>
      <w:pPr>
        <w:pStyle w:val="style0"/>
        <w:jc w:val="both"/>
      </w:pPr>
      <w:r>
        <w:rPr>
          <w:color w:val="000000"/>
          <w:sz w:val="24"/>
          <w:szCs w:val="24"/>
        </w:rPr>
      </w:r>
    </w:p>
    <w:p>
      <w:pPr>
        <w:pStyle w:val="style32"/>
        <w:spacing w:after="28" w:before="28"/>
        <w:jc w:val="both"/>
      </w:pPr>
      <w:r>
        <w:rPr>
          <w:color w:val="000000"/>
        </w:rPr>
        <w:t xml:space="preserve">se sídlem: </w:t>
      </w:r>
      <w:r>
        <w:rPr>
          <w:b/>
          <w:color w:val="000000"/>
        </w:rPr>
        <w:t>Jihlava, Masarykovo náměstí 110/64, PSČ 586 01</w:t>
      </w:r>
    </w:p>
    <w:p>
      <w:pPr>
        <w:pStyle w:val="style32"/>
        <w:spacing w:after="28" w:before="28"/>
        <w:jc w:val="both"/>
      </w:pPr>
      <w:r>
        <w:rPr>
          <w:color w:val="000000"/>
        </w:rPr>
        <w:t>kontaktní informace:</w:t>
      </w:r>
    </w:p>
    <w:p>
      <w:pPr>
        <w:pStyle w:val="style32"/>
        <w:spacing w:after="28" w:before="28"/>
        <w:jc w:val="both"/>
      </w:pPr>
      <w:r>
        <w:rPr>
          <w:color w:val="000000"/>
        </w:rPr>
        <w:t xml:space="preserve">tel.: </w:t>
        <w:tab/>
      </w:r>
      <w:r>
        <w:rPr>
          <w:b/>
          <w:bCs/>
          <w:color w:val="000000"/>
        </w:rPr>
        <w:t>+420 702 193 913</w:t>
      </w:r>
      <w:r>
        <w:rPr>
          <w:color w:val="000000"/>
        </w:rPr>
        <w:t xml:space="preserve">   </w:t>
      </w:r>
    </w:p>
    <w:p>
      <w:pPr>
        <w:pStyle w:val="style32"/>
        <w:spacing w:after="28" w:before="28"/>
      </w:pPr>
      <w:r>
        <w:rPr>
          <w:color w:val="000000"/>
        </w:rPr>
        <w:t xml:space="preserve">e-mail: řízení o pozůstalosti: </w:t>
      </w:r>
      <w:hyperlink r:id="rId3">
        <w:r>
          <w:rPr>
            <w:rStyle w:val="style16"/>
            <w:b/>
          </w:rPr>
          <w:t>pozustalost@notarka-jihlava.cz</w:t>
        </w:r>
      </w:hyperlink>
    </w:p>
    <w:p>
      <w:pPr>
        <w:pStyle w:val="style32"/>
        <w:spacing w:after="28" w:before="28"/>
      </w:pPr>
      <w:r>
        <w:rPr>
          <w:b/>
          <w:color w:val="000000"/>
        </w:rPr>
        <w:t xml:space="preserve">            </w:t>
      </w:r>
      <w:r>
        <w:rPr>
          <w:bCs/>
          <w:color w:val="000000"/>
        </w:rPr>
        <w:t>ostatní agenda:</w:t>
      </w:r>
      <w:r>
        <w:rPr>
          <w:color w:val="000000"/>
        </w:rPr>
        <w:t xml:space="preserve"> </w:t>
      </w:r>
      <w:hyperlink r:id="rId4">
        <w:r>
          <w:rPr>
            <w:rStyle w:val="style16"/>
          </w:rPr>
          <w:t>info@notarka-jihlava.cz</w:t>
        </w:r>
      </w:hyperlink>
    </w:p>
    <w:p>
      <w:pPr>
        <w:pStyle w:val="style32"/>
        <w:spacing w:after="28" w:before="28"/>
      </w:pPr>
      <w:r>
        <w:rPr>
          <w:color w:val="000000"/>
        </w:rPr>
        <w:t>datová schránka:</w:t>
      </w:r>
      <w:r>
        <w:rPr>
          <w:rStyle w:val="style20"/>
          <w:color w:val="000000"/>
        </w:rPr>
        <w:t> </w:t>
      </w:r>
      <w:r>
        <w:rPr>
          <w:rFonts w:cs=""/>
          <w:color w:val="000000"/>
        </w:rPr>
        <w:t>hzpzdg9</w:t>
      </w:r>
    </w:p>
    <w:p>
      <w:pPr>
        <w:pStyle w:val="style32"/>
        <w:spacing w:after="28" w:before="28"/>
        <w:jc w:val="both"/>
      </w:pPr>
      <w:r>
        <w:rPr>
          <w:rFonts w:cs=""/>
          <w:color w:val="000000"/>
        </w:rPr>
        <w:t>Kancelář je otevřena v pracovní dny:</w:t>
      </w:r>
    </w:p>
    <w:tbl>
      <w:tblPr>
        <w:jc w:val="left"/>
        <w:tblInd w:type="dxa" w:w="-8"/>
        <w:tblBorders/>
      </w:tblPr>
      <w:tblGrid>
        <w:gridCol w:w="4652"/>
        <w:gridCol w:w="4644"/>
      </w:tblGrid>
      <w:tr>
        <w:trPr>
          <w:cantSplit w:val="false"/>
        </w:trPr>
        <w:tc>
          <w:tcPr>
            <w:tcW w:type="dxa" w:w="4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type="dxa" w:w="46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7:30 – 17:00</w:t>
            </w:r>
          </w:p>
        </w:tc>
      </w:tr>
      <w:tr>
        <w:trPr>
          <w:cantSplit w:val="false"/>
        </w:trPr>
        <w:tc>
          <w:tcPr>
            <w:tcW w:type="dxa" w:w="4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type="dxa" w:w="46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7:30 – 16:00</w:t>
            </w:r>
          </w:p>
        </w:tc>
      </w:tr>
      <w:tr>
        <w:trPr>
          <w:cantSplit w:val="false"/>
        </w:trPr>
        <w:tc>
          <w:tcPr>
            <w:tcW w:type="dxa" w:w="4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type="dxa" w:w="46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7:30 – 17:00</w:t>
            </w:r>
          </w:p>
        </w:tc>
      </w:tr>
      <w:tr>
        <w:trPr>
          <w:cantSplit w:val="false"/>
        </w:trPr>
        <w:tc>
          <w:tcPr>
            <w:tcW w:type="dxa" w:w="4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type="dxa" w:w="46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7:30 – 16:00</w:t>
            </w:r>
          </w:p>
        </w:tc>
      </w:tr>
      <w:tr>
        <w:trPr>
          <w:cantSplit w:val="false"/>
        </w:trPr>
        <w:tc>
          <w:tcPr>
            <w:tcW w:type="dxa" w:w="4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type="dxa" w:w="46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tabs>
                <w:tab w:leader="none" w:pos="0" w:val="left"/>
              </w:tabs>
              <w:jc w:val="both"/>
            </w:pPr>
            <w:r>
              <w:rPr>
                <w:sz w:val="24"/>
                <w:szCs w:val="24"/>
              </w:rPr>
              <w:t>7:30 – 14:00</w:t>
            </w:r>
          </w:p>
        </w:tc>
      </w:tr>
    </w:tbl>
    <w:p>
      <w:pPr>
        <w:pStyle w:val="style0"/>
        <w:widowControl w:val="false"/>
        <w:tabs>
          <w:tab w:leader="none" w:pos="100" w:val="left"/>
        </w:tabs>
        <w:ind w:hanging="0" w:left="100" w:right="0"/>
        <w:jc w:val="both"/>
      </w:pPr>
      <w:r>
        <w:rPr>
          <w:sz w:val="24"/>
          <w:szCs w:val="24"/>
        </w:rPr>
      </w:r>
    </w:p>
    <w:p>
      <w:pPr>
        <w:pStyle w:val="style0"/>
        <w:widowControl w:val="false"/>
        <w:tabs>
          <w:tab w:leader="none" w:pos="0" w:val="left"/>
        </w:tabs>
        <w:jc w:val="both"/>
      </w:pPr>
      <w:r>
        <w:rPr>
          <w:sz w:val="24"/>
          <w:szCs w:val="24"/>
        </w:rPr>
        <w:tab/>
        <w:t>Dovoluji si Vás požádat, pokud uznáte za vhodné, dát tyto informace v patrnost občanům Vaší obce (např. vyvěšením na úřední desce obce).</w:t>
      </w:r>
    </w:p>
    <w:p>
      <w:pPr>
        <w:pStyle w:val="style0"/>
        <w:ind w:firstLine="709" w:left="0" w:right="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ab/>
        <w:t>S pozdravem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>
      <w:pPr>
        <w:pStyle w:val="style0"/>
        <w:tabs>
          <w:tab w:leader="none" w:pos="6153" w:val="left"/>
        </w:tabs>
        <w:jc w:val="right"/>
      </w:pPr>
      <w:r>
        <w:rPr>
          <w:sz w:val="24"/>
          <w:szCs w:val="24"/>
        </w:rPr>
        <w:t>Mgr. Lucie Sobotková v.r.</w:t>
      </w:r>
    </w:p>
    <w:sectPr>
      <w:type w:val="nextPage"/>
      <w:pgSz w:h="15840" w:w="12240"/>
      <w:pgMar w:bottom="1134" w:footer="0" w:gutter="0" w:header="0" w:left="1417" w:right="1417" w:top="426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cs-CZ" w:val="cs-CZ"/>
    </w:rPr>
  </w:style>
  <w:style w:styleId="style1" w:type="paragraph">
    <w:name w:val="Nadpis 1"/>
    <w:basedOn w:val="style0"/>
    <w:next w:val="style26"/>
    <w:pPr>
      <w:keepNext/>
      <w:jc w:val="both"/>
    </w:pPr>
    <w:rPr>
      <w:sz w:val="24"/>
    </w:rPr>
  </w:style>
  <w:style w:styleId="style2" w:type="paragraph">
    <w:name w:val="Nadpis 2"/>
    <w:basedOn w:val="style0"/>
    <w:next w:val="style26"/>
    <w:pPr>
      <w:keepNext/>
      <w:keepLines/>
      <w:numPr>
        <w:ilvl w:val="1"/>
        <w:numId w:val="1"/>
      </w:numPr>
      <w:spacing w:after="0" w:before="40"/>
      <w:outlineLvl w:val="1"/>
    </w:pPr>
    <w:rPr>
      <w:rFonts w:ascii="Calibri Light" w:cs="" w:hAnsi="Calibri Light"/>
      <w:color w:val="2E74B5"/>
      <w:sz w:val="26"/>
      <w:szCs w:val="26"/>
    </w:rPr>
  </w:style>
  <w:style w:styleId="style3" w:type="paragraph">
    <w:name w:val="Nadpis 3"/>
    <w:basedOn w:val="style0"/>
    <w:next w:val="style26"/>
    <w:pPr>
      <w:keepNext/>
      <w:numPr>
        <w:ilvl w:val="2"/>
        <w:numId w:val="1"/>
      </w:numPr>
      <w:outlineLvl w:val="2"/>
    </w:pPr>
    <w:rPr>
      <w:sz w:val="32"/>
    </w:rPr>
  </w:style>
  <w:style w:styleId="style4" w:type="paragraph">
    <w:name w:val="Nadpis 4"/>
    <w:basedOn w:val="style0"/>
    <w:next w:val="style26"/>
    <w:pPr>
      <w:keepNext/>
      <w:numPr>
        <w:ilvl w:val="3"/>
        <w:numId w:val="1"/>
      </w:numPr>
      <w:outlineLvl w:val="3"/>
    </w:pPr>
    <w:rPr>
      <w:rFonts w:ascii="Sylfaen" w:hAnsi="Sylfaen"/>
      <w:sz w:val="24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next w:val="style16"/>
    <w:rPr>
      <w:color w:val="0000FF"/>
      <w:u w:val="single"/>
      <w:lang w:bidi="cs-CZ" w:eastAsia="cs-CZ" w:val="cs-CZ"/>
    </w:rPr>
  </w:style>
  <w:style w:styleId="style17" w:type="character">
    <w:name w:val="Text bubliny Char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Základní text odsazený Char"/>
    <w:basedOn w:val="style15"/>
    <w:next w:val="style18"/>
    <w:rPr>
      <w:sz w:val="24"/>
    </w:rPr>
  </w:style>
  <w:style w:styleId="style19" w:type="character">
    <w:name w:val="Nadpis 2 Char"/>
    <w:basedOn w:val="style15"/>
    <w:next w:val="style19"/>
    <w:rPr>
      <w:rFonts w:ascii="Calibri Light" w:cs="" w:hAnsi="Calibri Light"/>
      <w:color w:val="2E74B5"/>
      <w:sz w:val="26"/>
      <w:szCs w:val="26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Silné zdůraznění"/>
    <w:basedOn w:val="style15"/>
    <w:next w:val="style21"/>
    <w:rPr>
      <w:b/>
      <w:bCs/>
    </w:rPr>
  </w:style>
  <w:style w:styleId="style22" w:type="character">
    <w:name w:val="Nadpis 3 Char"/>
    <w:basedOn w:val="style15"/>
    <w:next w:val="style22"/>
    <w:rPr>
      <w:sz w:val="32"/>
    </w:rPr>
  </w:style>
  <w:style w:styleId="style23" w:type="character">
    <w:name w:val="Nadpis 4 Char"/>
    <w:basedOn w:val="style15"/>
    <w:next w:val="style23"/>
    <w:rPr>
      <w:rFonts w:ascii="Sylfaen" w:hAnsi="Sylfaen"/>
      <w:sz w:val="24"/>
    </w:rPr>
  </w:style>
  <w:style w:styleId="style24" w:type="character">
    <w:name w:val="Unresolved Mention"/>
    <w:basedOn w:val="style15"/>
    <w:next w:val="style24"/>
    <w:rPr>
      <w:color w:val="605E5C"/>
      <w:shd w:fill="E1DFDD" w:val="clear"/>
    </w:rPr>
  </w:style>
  <w:style w:styleId="style25" w:type="paragraph">
    <w:name w:val="Nadpis"/>
    <w:basedOn w:val="style0"/>
    <w:next w:val="style2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6" w:type="paragraph">
    <w:name w:val="Tělo textu"/>
    <w:basedOn w:val="style0"/>
    <w:next w:val="style26"/>
    <w:pPr>
      <w:spacing w:after="120" w:before="0"/>
    </w:pPr>
    <w:rPr/>
  </w:style>
  <w:style w:styleId="style27" w:type="paragraph">
    <w:name w:val="Seznam"/>
    <w:basedOn w:val="style26"/>
    <w:next w:val="style27"/>
    <w:pPr/>
    <w:rPr>
      <w:rFonts w:cs="Mangal"/>
    </w:rPr>
  </w:style>
  <w:style w:styleId="style28" w:type="paragraph">
    <w:name w:val="Popisek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Rejstřík"/>
    <w:basedOn w:val="style0"/>
    <w:next w:val="style29"/>
    <w:pPr>
      <w:suppressLineNumbers/>
    </w:pPr>
    <w:rPr>
      <w:rFonts w:cs="Mangal"/>
    </w:rPr>
  </w:style>
  <w:style w:styleId="style30" w:type="paragraph">
    <w:name w:val="Balloon Text"/>
    <w:basedOn w:val="style0"/>
    <w:next w:val="style30"/>
    <w:pPr/>
    <w:rPr>
      <w:rFonts w:ascii="Segoe UI" w:cs="Segoe UI" w:hAnsi="Segoe UI"/>
      <w:sz w:val="18"/>
      <w:szCs w:val="18"/>
    </w:rPr>
  </w:style>
  <w:style w:styleId="style31" w:type="paragraph">
    <w:name w:val="Odsazení těla textu"/>
    <w:basedOn w:val="style0"/>
    <w:next w:val="style31"/>
    <w:pPr>
      <w:ind w:firstLine="357" w:left="283" w:right="0"/>
      <w:jc w:val="both"/>
    </w:pPr>
    <w:rPr>
      <w:sz w:val="24"/>
    </w:rPr>
  </w:style>
  <w:style w:styleId="style32" w:type="paragraph">
    <w:name w:val="Normal (Web)"/>
    <w:basedOn w:val="style0"/>
    <w:next w:val="style32"/>
    <w:pPr>
      <w:spacing w:after="28" w:before="28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notarka-jihlava.cz" TargetMode="External"/><Relationship Id="rId3" Type="http://schemas.openxmlformats.org/officeDocument/2006/relationships/hyperlink" Target="mailto:pozustalost@notarka-jihlava.cz" TargetMode="External"/><Relationship Id="rId4" Type="http://schemas.openxmlformats.org/officeDocument/2006/relationships/hyperlink" Target="mailto:info@notarka-jihlava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2022-06-08T19:59:00.00Z</dcterms:created>
  <dc:creator>JUDr. Jiřík Fleischer</dc:creator>
  <cp:lastModifiedBy>Lucie Sobotková</cp:lastModifiedBy>
  <cp:lastPrinted>2014-09-25T11:55:00.00Z</cp:lastPrinted>
  <dcterms:modified xsi:type="dcterms:W3CDTF">2022-06-08T19:59:00.00Z</dcterms:modified>
  <cp:revision>2</cp:revision>
  <dc:title>Mgr</dc:title>
</cp:coreProperties>
</file>